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42DA" w14:textId="748F2B8A" w:rsidR="006E7042" w:rsidRPr="006E7042" w:rsidRDefault="006E7042" w:rsidP="006E7042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12400755"/>
      <w:r w:rsidRPr="006E704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429/ </w:t>
      </w:r>
      <w:r w:rsidR="007A3C1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8678</w:t>
      </w:r>
      <w:r w:rsidRPr="006E704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247D8302" w14:textId="77777777" w:rsidR="006E7042" w:rsidRPr="006E7042" w:rsidRDefault="006E7042" w:rsidP="006E7042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E704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7E17A715" w14:textId="77777777" w:rsidR="006E7042" w:rsidRPr="006E7042" w:rsidRDefault="006E7042" w:rsidP="006E7042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E704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47726B10" w14:textId="671759AC" w:rsidR="006E7042" w:rsidRPr="006E7042" w:rsidRDefault="006E7042" w:rsidP="006E7042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E7042">
        <w:rPr>
          <w:rFonts w:ascii="Arial" w:eastAsia="Times New Roman" w:hAnsi="Arial" w:cs="Times New Roman"/>
          <w:sz w:val="24"/>
          <w:szCs w:val="24"/>
          <w:lang w:eastAsia="pl-PL"/>
        </w:rPr>
        <w:t>z dnia 11 października  2022r.</w:t>
      </w:r>
      <w:bookmarkEnd w:id="0"/>
    </w:p>
    <w:p w14:paraId="098FB347" w14:textId="4AB1B89F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Strategii Rozwoju Gminy </w:t>
      </w:r>
      <w:r w:rsidR="006D77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Jarosław</w:t>
      </w:r>
      <w:r w:rsidR="006E7042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na lata 2022-2030.</w:t>
      </w:r>
    </w:p>
    <w:bookmarkEnd w:id="1"/>
    <w:p w14:paraId="68DD6768" w14:textId="0A245AB1" w:rsidR="00524C73" w:rsidRDefault="0091528F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="006E7042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ar-SA"/>
        </w:rPr>
        <w:t>Dz. U. z 2022 r. poz. 547</w:t>
      </w:r>
      <w:r w:rsidR="006E7042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</w:t>
      </w:r>
      <w:r w:rsidR="00625F3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  <w:r w:rsidR="006E7042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10D4FEF7" w14:textId="77777777" w:rsidR="00524C73" w:rsidRDefault="0091528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5645F8B6" w14:textId="77777777" w:rsidR="00524C73" w:rsidRDefault="0091528F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556333AF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59C2AB0C" w14:textId="001417BF" w:rsidR="00524C73" w:rsidRDefault="0091528F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6D77EB">
        <w:rPr>
          <w:rFonts w:ascii="Arial" w:eastAsia="Times New Roman" w:hAnsi="Arial" w:cs="Arial"/>
          <w:i/>
          <w:sz w:val="24"/>
          <w:szCs w:val="24"/>
          <w:lang w:eastAsia="ar-SA"/>
        </w:rPr>
        <w:t>Jarosław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2022-2030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1C28C979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63C5DFD3" w14:textId="77777777" w:rsidR="00524C73" w:rsidRDefault="0091528F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39289CAF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60FC927" w14:textId="77777777" w:rsidR="00524C73" w:rsidRDefault="0091528F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6A4C65F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B55F204" w14:textId="77777777" w:rsidR="00524C73" w:rsidRDefault="0091528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0F909E09" w14:textId="77777777" w:rsidR="005C4CCC" w:rsidRPr="00CB2243" w:rsidRDefault="005C4CCC" w:rsidP="005C4CCC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CB224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A0B69C1" w14:textId="77777777" w:rsidR="005C4CCC" w:rsidRPr="00CB2243" w:rsidRDefault="005C4CCC" w:rsidP="005C4CCC">
      <w:pPr>
        <w:spacing w:after="0"/>
        <w:rPr>
          <w:rFonts w:ascii="Arial" w:eastAsiaTheme="minorEastAsia" w:hAnsi="Arial" w:cs="Arial"/>
        </w:rPr>
      </w:pPr>
      <w:r w:rsidRPr="00CB224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62E4EA93" w14:textId="77777777" w:rsidR="005C4CCC" w:rsidRPr="00CB2243" w:rsidRDefault="005C4CCC" w:rsidP="005C4CCC">
      <w:pPr>
        <w:rPr>
          <w:rFonts w:ascii="Arial" w:hAnsi="Arial" w:cs="Arial"/>
        </w:rPr>
      </w:pPr>
    </w:p>
    <w:p w14:paraId="73325A72" w14:textId="77777777" w:rsidR="005C4CCC" w:rsidRDefault="005C4CCC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F450014" w14:textId="77777777" w:rsidR="005C4CCC" w:rsidRDefault="005C4CCC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A5ADEE2" w14:textId="6DC4BAF3" w:rsidR="005C4CCC" w:rsidRDefault="005C4CCC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5C4CCC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0B258309" w14:textId="3FF04968" w:rsidR="00524C73" w:rsidRDefault="0091528F">
      <w:pPr>
        <w:keepNext/>
        <w:keepLines/>
        <w:spacing w:after="0" w:line="252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Załą</w:t>
      </w:r>
      <w:r w:rsidR="006E7042">
        <w:rPr>
          <w:rFonts w:ascii="Arial" w:eastAsia="Times New Roman" w:hAnsi="Arial" w:cs="Arial"/>
          <w:sz w:val="24"/>
          <w:szCs w:val="24"/>
          <w:lang w:eastAsia="ar-SA"/>
        </w:rPr>
        <w:t xml:space="preserve">cznik do uchwały Nr 429 / </w:t>
      </w:r>
      <w:r w:rsidR="007A3C1E">
        <w:rPr>
          <w:rFonts w:ascii="Arial" w:eastAsia="Times New Roman" w:hAnsi="Arial" w:cs="Arial"/>
          <w:sz w:val="24"/>
          <w:szCs w:val="24"/>
          <w:lang w:eastAsia="ar-SA"/>
        </w:rPr>
        <w:t>8678</w:t>
      </w:r>
      <w:r w:rsidR="006E7042">
        <w:rPr>
          <w:rFonts w:ascii="Arial" w:eastAsia="Times New Roman" w:hAnsi="Arial" w:cs="Arial"/>
          <w:sz w:val="24"/>
          <w:szCs w:val="24"/>
          <w:lang w:eastAsia="ar-SA"/>
        </w:rPr>
        <w:t xml:space="preserve"> /22</w:t>
      </w:r>
    </w:p>
    <w:p w14:paraId="3920985B" w14:textId="27F1318E" w:rsidR="00524C73" w:rsidRDefault="0091528F">
      <w:pPr>
        <w:keepNext/>
        <w:keepLines/>
        <w:spacing w:after="0" w:line="252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Zarządu Województwa Podkarpackiego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w Rzeszowie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dnia </w:t>
      </w:r>
      <w:r w:rsidR="006E7042">
        <w:rPr>
          <w:rFonts w:ascii="Arial" w:eastAsia="Times New Roman" w:hAnsi="Arial" w:cs="Arial"/>
          <w:sz w:val="24"/>
          <w:szCs w:val="24"/>
          <w:lang w:eastAsia="ar-SA"/>
        </w:rPr>
        <w:t xml:space="preserve">11 października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2022 r.</w:t>
      </w:r>
    </w:p>
    <w:p w14:paraId="3281BBB8" w14:textId="77777777" w:rsidR="00524C73" w:rsidRDefault="00524C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60B4175" w14:textId="77777777" w:rsidR="00524C73" w:rsidRDefault="0091528F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68DB0782" w14:textId="77777777" w:rsidR="00524C73" w:rsidRDefault="0091528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Zgodnie z art. 10f ust. 2 i 3 ustawy z dnia 8 marca 1990 r. o samorządzie gminnym 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Dz. U. z 2022 r. poz. 559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i prowadzenia polityki przestrzennej w województwie określonych w strategii rozwoju województwa. </w:t>
      </w:r>
    </w:p>
    <w:p w14:paraId="35BBF68C" w14:textId="77777777" w:rsidR="00524C73" w:rsidRDefault="0091528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06EE170E" w14:textId="172BA414" w:rsidR="00524C73" w:rsidRDefault="0091528F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6D77E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13 września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2022 r., Pan</w:t>
      </w:r>
      <w:r w:rsidR="006D77E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i Elżbieta Grunt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Wójt Gminy </w:t>
      </w:r>
      <w:r w:rsidR="00F12D4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Jarosław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wystąpił</w:t>
      </w:r>
      <w:r w:rsidR="006D77E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o zaopiniowanie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Projektu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 w:rsidR="006D77E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Jarosław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na lata 2022-2030 (SRG).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6D77E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14 września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2022 r.</w:t>
      </w:r>
    </w:p>
    <w:p w14:paraId="76F71E6B" w14:textId="0AC88859" w:rsidR="00524C73" w:rsidRDefault="0091528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</w:t>
      </w:r>
      <w:r w:rsidR="006D77EB">
        <w:rPr>
          <w:rFonts w:ascii="Arial" w:eastAsia="Times New Roman" w:hAnsi="Arial" w:cs="Arial"/>
          <w:sz w:val="24"/>
          <w:szCs w:val="24"/>
          <w:lang w:eastAsia="ar-SA"/>
        </w:rPr>
        <w:t>Jarosław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lata 2022-2030 jest zgodny z horyzontem czasowym przyjętym 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0E570D72" w14:textId="77777777" w:rsidR="006D77EB" w:rsidRDefault="006D77EB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56E0C4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CF97646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093B48AE" w14:textId="281C490D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="006D77EB">
        <w:rPr>
          <w:rFonts w:ascii="Arial" w:eastAsia="Times New Roman" w:hAnsi="Arial" w:cs="Arial"/>
          <w:sz w:val="24"/>
          <w:szCs w:val="24"/>
          <w:lang w:eastAsia="pl-PL"/>
        </w:rPr>
        <w:t>cele operacyjne:  II.1,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II.2,  II.</w:t>
      </w:r>
      <w:r w:rsidR="006D77EB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02B2DF8" w14:textId="7F03D3A1" w:rsidR="006D77EB" w:rsidRDefault="006D77EB" w:rsidP="005F6AF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1.4. </w:t>
      </w:r>
      <w:r w:rsidRPr="006D77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Gospodarka cyrkularna (Gospodarka obiegu zamkniętego)</w:t>
      </w:r>
    </w:p>
    <w:p w14:paraId="000B1185" w14:textId="56D87E9C" w:rsidR="006D77EB" w:rsidRPr="006D77EB" w:rsidRDefault="006D77EB" w:rsidP="006D77EB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7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6D77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cel operacyjn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6D77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 I.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6D77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77E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6D77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0DAC6CA" w14:textId="77777777" w:rsidR="006D77EB" w:rsidRDefault="006D77EB" w:rsidP="006D77E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AB7873" w14:textId="77777777" w:rsidR="006D77EB" w:rsidRDefault="006D77EB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5FF3C8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2. KAPITAŁ LUDZKI I SPOŁECZNY</w:t>
      </w:r>
    </w:p>
    <w:p w14:paraId="76181ED0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456B1A8D" w14:textId="57205483" w:rsidR="006D77EB" w:rsidRDefault="006D77EB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7EB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I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710F11C0" w14:textId="77777777" w:rsidR="000A4098" w:rsidRPr="000A4098" w:rsidRDefault="000A4098">
      <w:pPr>
        <w:spacing w:after="120" w:line="276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58855D78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0F5FB224" w14:textId="635D00A1" w:rsidR="00524C73" w:rsidRDefault="000A409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>:  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3, </w:t>
      </w:r>
      <w:r w:rsidR="0091528F">
        <w:rPr>
          <w:rFonts w:ascii="Arial" w:eastAsia="Times New Roman" w:hAnsi="Arial" w:cs="Arial"/>
          <w:sz w:val="24"/>
          <w:szCs w:val="24"/>
          <w:lang w:eastAsia="pl-PL"/>
        </w:rPr>
        <w:t xml:space="preserve">III.3 </w:t>
      </w:r>
      <w:r w:rsidR="0091528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="009152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541D7FB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3A777CF9" w14:textId="01EE1D79" w:rsidR="000A4098" w:rsidRDefault="000A4098" w:rsidP="000A409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>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3, III.1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0BBE22A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09D32E95" w14:textId="77777777" w:rsidR="000A4098" w:rsidRDefault="000A4098" w:rsidP="000A4098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7EB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I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458DEECD" w14:textId="77777777" w:rsidR="000A4098" w:rsidRPr="000A4098" w:rsidRDefault="000A4098" w:rsidP="000A4098">
      <w:pPr>
        <w:spacing w:after="120" w:line="276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A47144A" w14:textId="77777777" w:rsidR="00524C73" w:rsidRDefault="0091528F" w:rsidP="000A4098">
      <w:pPr>
        <w:spacing w:before="240"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6B77726C" w14:textId="074FB584" w:rsidR="000A4098" w:rsidRDefault="000A4098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sz w:val="24"/>
          <w:szCs w:val="24"/>
          <w:lang w:eastAsia="pl-PL"/>
        </w:rPr>
        <w:t>W priorytet wpisują si</w:t>
      </w:r>
      <w:r>
        <w:rPr>
          <w:rFonts w:ascii="Arial" w:eastAsia="Times New Roman" w:hAnsi="Arial" w:cs="Arial"/>
          <w:sz w:val="24"/>
          <w:szCs w:val="24"/>
          <w:lang w:eastAsia="pl-PL"/>
        </w:rPr>
        <w:t>ę cele operacyjne:  III.3, I.2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25B4A9E9" w14:textId="606D7CE3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1EE713FB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21F650D6" w14:textId="3752BD5D" w:rsidR="00524C73" w:rsidRDefault="000A409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91528F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91528F">
        <w:rPr>
          <w:rFonts w:ascii="Arial" w:eastAsia="Times New Roman" w:hAnsi="Arial" w:cs="Arial"/>
          <w:sz w:val="24"/>
          <w:szCs w:val="24"/>
          <w:lang w:eastAsia="pl-PL"/>
        </w:rPr>
        <w:t>:  I.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152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528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="009152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BEC9E07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1A9A7C98" w14:textId="3356C5CC" w:rsidR="000A4098" w:rsidRDefault="000A4098" w:rsidP="000A409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 I.2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0FECA76" w14:textId="77777777" w:rsidR="00524C73" w:rsidRDefault="009152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650E27E5" w14:textId="0CFBB7D8" w:rsidR="000A4098" w:rsidRDefault="000A4098" w:rsidP="000A4098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sz w:val="24"/>
          <w:szCs w:val="24"/>
          <w:lang w:eastAsia="pl-PL"/>
        </w:rPr>
        <w:t>W priorytet wpisują si</w:t>
      </w:r>
      <w:r>
        <w:rPr>
          <w:rFonts w:ascii="Arial" w:eastAsia="Times New Roman" w:hAnsi="Arial" w:cs="Arial"/>
          <w:sz w:val="24"/>
          <w:szCs w:val="24"/>
          <w:lang w:eastAsia="pl-PL"/>
        </w:rPr>
        <w:t>ę cele operacyjne:  II.1, II.2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151EB9D4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5644D2C7" w14:textId="34ACED20" w:rsidR="000A4098" w:rsidRDefault="000A4098" w:rsidP="000A4098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sz w:val="24"/>
          <w:szCs w:val="24"/>
          <w:lang w:eastAsia="pl-PL"/>
        </w:rPr>
        <w:t>W priorytet wpisują si</w:t>
      </w:r>
      <w:r>
        <w:rPr>
          <w:rFonts w:ascii="Arial" w:eastAsia="Times New Roman" w:hAnsi="Arial" w:cs="Arial"/>
          <w:sz w:val="24"/>
          <w:szCs w:val="24"/>
          <w:lang w:eastAsia="pl-PL"/>
        </w:rPr>
        <w:t>ę cele operacyjne:  I.1, I.2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0CF52DEC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5C93976E" w14:textId="77777777" w:rsidR="000A4098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</w:t>
      </w:r>
      <w:r w:rsidR="000A4098"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4.1. Poprawa dostępności do usług publicznych poprzez wykorzystanie technologii informacyjno-komunikacyjnych </w:t>
      </w:r>
    </w:p>
    <w:p w14:paraId="1AB5A150" w14:textId="0020F786" w:rsidR="000A4098" w:rsidRDefault="000A4098" w:rsidP="000A4098">
      <w:pPr>
        <w:spacing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 cel operacyjny:  I.2 SRG.</w:t>
      </w:r>
    </w:p>
    <w:p w14:paraId="0BC47213" w14:textId="77777777" w:rsidR="000A4098" w:rsidRPr="000A4098" w:rsidRDefault="000A4098" w:rsidP="000A4098">
      <w:pPr>
        <w:spacing w:line="276" w:lineRule="auto"/>
        <w:contextualSpacing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3844096F" w14:textId="09041EB1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</w:t>
      </w:r>
      <w:r w:rsidR="000A4098"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4.2. Planowanie przestrzenne wspierające aktywizację społeczności i aktywizacja obszarów zdegradowanych</w:t>
      </w:r>
    </w:p>
    <w:p w14:paraId="454F4801" w14:textId="0BA134EC" w:rsidR="000A4098" w:rsidRPr="000A4098" w:rsidRDefault="000A4098" w:rsidP="000A409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 cel operacyjny:  I.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A409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1D175FE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0BA87694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7.1. </w:t>
      </w:r>
      <w:r>
        <w:rPr>
          <w:rFonts w:ascii="Arial" w:eastAsia="Times New Roman" w:hAnsi="Arial"/>
          <w:sz w:val="24"/>
          <w:szCs w:val="24"/>
          <w:lang w:eastAsia="pl-PL"/>
        </w:rPr>
        <w:t>Wykorzystanie policentrycznego miejskiego układu osadniczego</w:t>
      </w:r>
    </w:p>
    <w:p w14:paraId="37DD58EA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3AA1E021" w14:textId="77777777" w:rsidR="00BB02BD" w:rsidRDefault="00BB02BD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3698C4" w14:textId="3DC30946" w:rsidR="00173CA7" w:rsidRDefault="00173CA7" w:rsidP="00173CA7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360B25">
        <w:rPr>
          <w:rFonts w:ascii="Arial" w:eastAsia="Calibri" w:hAnsi="Arial" w:cs="Arial"/>
          <w:sz w:val="24"/>
          <w:szCs w:val="24"/>
        </w:rPr>
        <w:t xml:space="preserve">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Projekcie</w:t>
      </w:r>
      <w:r w:rsidRPr="00360B25">
        <w:rPr>
          <w:rFonts w:ascii="Arial" w:eastAsia="Calibri" w:hAnsi="Arial" w:cs="Arial"/>
          <w:sz w:val="24"/>
          <w:szCs w:val="24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BB02B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Jarosław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 w:rsidRPr="00360B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0B25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082D23D5" w14:textId="27249A7B" w:rsidR="00524C73" w:rsidRDefault="0091528F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Przedłożony do zaopiniowania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Projekt Strategii Rozwoju Gminy </w:t>
      </w:r>
      <w:r w:rsidR="00BB02BD" w:rsidRPr="00BB02B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Jarosław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 art. 10e ust. 3 i 4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 diagnozy, cele strategiczne rozwoju                           w 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                   w zakresie kształtowania i 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                                z zakresem planowanych działań, </w:t>
      </w:r>
      <w:r>
        <w:rPr>
          <w:rFonts w:ascii="Arial" w:eastAsia="Calibri" w:hAnsi="Arial" w:cs="Arial"/>
          <w:sz w:val="24"/>
          <w:szCs w:val="24"/>
        </w:rPr>
        <w:t xml:space="preserve">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302EE2A3" w14:textId="77777777" w:rsidR="005C4BE7" w:rsidRDefault="005C4BE7" w:rsidP="00261868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4BE7">
        <w:rPr>
          <w:rFonts w:ascii="Arial" w:eastAsia="Times New Roman" w:hAnsi="Arial" w:cs="Arial"/>
          <w:sz w:val="24"/>
          <w:szCs w:val="24"/>
          <w:lang w:eastAsia="ar-SA"/>
        </w:rPr>
        <w:t>W toku przeprowadzonej analizy dokumentu sformułowano następujące wnioski i rekomendacje, które przesądziły o opinii Zarządu Województwa Podkarpackiego na temat sposobu uwzględnienia ustaleń i rekomendacji w zakresie kształtowania i prowadzenia polityki przestrzennej w województwie określonych w strategii rozwoju województwa.</w:t>
      </w:r>
    </w:p>
    <w:p w14:paraId="1095B487" w14:textId="1883390B" w:rsidR="00DF5639" w:rsidRDefault="005C4BE7" w:rsidP="00261868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 pierwsz</w:t>
      </w:r>
      <w:r w:rsidR="00F12D41">
        <w:rPr>
          <w:rFonts w:ascii="Arial" w:eastAsia="Times New Roman" w:hAnsi="Arial" w:cs="Arial"/>
          <w:sz w:val="24"/>
          <w:szCs w:val="24"/>
          <w:lang w:eastAsia="ar-SA"/>
        </w:rPr>
        <w:t>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zwraca się uwagę, iż w części diagnostycznej oraz w analizie SWOT podkreśla się, iż gmina </w:t>
      </w:r>
      <w:r w:rsidR="00F12D41">
        <w:rPr>
          <w:rFonts w:ascii="Arial" w:eastAsia="Times New Roman" w:hAnsi="Arial" w:cs="Arial"/>
          <w:sz w:val="24"/>
          <w:szCs w:val="24"/>
          <w:lang w:eastAsia="ar-SA"/>
        </w:rPr>
        <w:t xml:space="preserve">w celu realizacji polityki przestrzennej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powinna dążyć do stałej aktualizacji już istniejących dokumentów planistycznych. Ponadto podkreśla się potrzebę opracowania również nowych dokumentów planistycznych. Jednakże </w:t>
      </w:r>
      <w:r w:rsidR="007A511A">
        <w:rPr>
          <w:rFonts w:ascii="Arial" w:eastAsia="Times New Roman" w:hAnsi="Arial" w:cs="Arial"/>
          <w:sz w:val="24"/>
          <w:szCs w:val="24"/>
          <w:lang w:eastAsia="ar-SA"/>
        </w:rPr>
        <w:t xml:space="preserve">w SRG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 działaniach zaplanowano wyłącznie „opracowanie planów zagospodarowania przestrzennego dla terenów nimi nieobjętych”. </w:t>
      </w:r>
      <w:r w:rsidR="00DF5639">
        <w:rPr>
          <w:rFonts w:ascii="Arial" w:eastAsia="Times New Roman" w:hAnsi="Arial" w:cs="Arial"/>
          <w:sz w:val="24"/>
          <w:szCs w:val="24"/>
          <w:lang w:eastAsia="ar-SA"/>
        </w:rPr>
        <w:t xml:space="preserve">W związku z powyższym w celu uzyskania zgodności ze SRW </w:t>
      </w:r>
      <w:r w:rsidR="00DF5639" w:rsidRPr="00DF5639">
        <w:rPr>
          <w:rFonts w:ascii="Arial" w:eastAsia="Times New Roman" w:hAnsi="Arial" w:cs="Arial"/>
          <w:sz w:val="24"/>
          <w:szCs w:val="24"/>
          <w:lang w:eastAsia="ar-SA"/>
        </w:rPr>
        <w:t>w zakresie kształtowania i prowadzenia polityki przestrzenne</w:t>
      </w:r>
      <w:r w:rsidR="00DF5639">
        <w:rPr>
          <w:rFonts w:ascii="Arial" w:eastAsia="Times New Roman" w:hAnsi="Arial" w:cs="Arial"/>
          <w:sz w:val="24"/>
          <w:szCs w:val="24"/>
          <w:lang w:eastAsia="ar-SA"/>
        </w:rPr>
        <w:t>j, wskazuje się na konieczność uszczegółowienia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przez projektodawcę </w:t>
      </w:r>
      <w:r w:rsidR="00DF5639">
        <w:rPr>
          <w:rFonts w:ascii="Arial" w:eastAsia="Times New Roman" w:hAnsi="Arial" w:cs="Arial"/>
          <w:sz w:val="24"/>
          <w:szCs w:val="24"/>
          <w:lang w:eastAsia="ar-SA"/>
        </w:rPr>
        <w:t>celu operacyjnego I.3.</w:t>
      </w:r>
      <w:r w:rsidR="000D3A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D3A57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Poprawa jakości i funkcjonalne zagospodarowanie przestrzeni wraz z ochroną zasobów dziedzictwa </w:t>
      </w:r>
      <w:r w:rsidR="00BA352A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kulturowego</w:t>
      </w:r>
      <w:r w:rsidR="000D3A57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</w:t>
      </w:r>
      <w:r w:rsidR="00DF5639">
        <w:rPr>
          <w:rFonts w:ascii="Arial" w:eastAsia="Times New Roman" w:hAnsi="Arial" w:cs="Arial"/>
          <w:sz w:val="24"/>
          <w:szCs w:val="24"/>
          <w:lang w:eastAsia="ar-SA"/>
        </w:rPr>
        <w:t xml:space="preserve"> Uszczegółowienie kierunków działań w SRG jest również warunkiem uzyskania zgodności z</w:t>
      </w:r>
      <w:r w:rsidR="00BA352A">
        <w:rPr>
          <w:rFonts w:ascii="Arial" w:eastAsia="Times New Roman" w:hAnsi="Arial" w:cs="Arial"/>
          <w:sz w:val="24"/>
          <w:szCs w:val="24"/>
          <w:lang w:eastAsia="ar-SA"/>
        </w:rPr>
        <w:t xml:space="preserve"> przedstawionymi w SRG</w:t>
      </w:r>
      <w:r w:rsidR="00BA352A" w:rsidRPr="00DF761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F7615" w:rsidRPr="00DF7615">
        <w:rPr>
          <w:rFonts w:ascii="Arial" w:eastAsia="Times New Roman" w:hAnsi="Arial" w:cs="Arial"/>
          <w:sz w:val="24"/>
          <w:szCs w:val="24"/>
          <w:lang w:eastAsia="ar-SA"/>
        </w:rPr>
        <w:t>rezultat</w:t>
      </w:r>
      <w:r w:rsidR="00DF7615">
        <w:rPr>
          <w:rFonts w:ascii="Arial" w:eastAsia="Times New Roman" w:hAnsi="Arial" w:cs="Arial"/>
          <w:sz w:val="24"/>
          <w:szCs w:val="24"/>
          <w:lang w:eastAsia="ar-SA"/>
        </w:rPr>
        <w:t xml:space="preserve">ami planowanych działań </w:t>
      </w:r>
      <w:r w:rsidR="00DF7615" w:rsidRPr="00DF7615">
        <w:rPr>
          <w:rFonts w:ascii="Arial" w:eastAsia="Times New Roman" w:hAnsi="Arial" w:cs="Arial"/>
          <w:sz w:val="24"/>
          <w:szCs w:val="24"/>
          <w:lang w:eastAsia="ar-SA"/>
        </w:rPr>
        <w:t>w wymiarze przestrzennym</w:t>
      </w:r>
      <w:r w:rsidR="00DF563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0159805" w14:textId="7D172C2E" w:rsidR="00DF7615" w:rsidRDefault="00DF5639" w:rsidP="00261868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Ponadto w celach operacyjnych</w:t>
      </w:r>
      <w:r w:rsidR="00DF7615">
        <w:rPr>
          <w:rFonts w:ascii="Arial" w:eastAsia="Times New Roman" w:hAnsi="Arial" w:cs="Arial"/>
          <w:sz w:val="24"/>
          <w:szCs w:val="24"/>
          <w:lang w:eastAsia="ar-SA"/>
        </w:rPr>
        <w:t>, nie wskazano problematyki gminnej polityki zdrowotnej</w:t>
      </w:r>
      <w:r w:rsidR="007A511A">
        <w:rPr>
          <w:rFonts w:ascii="Arial" w:eastAsia="Times New Roman" w:hAnsi="Arial" w:cs="Arial"/>
          <w:sz w:val="24"/>
          <w:szCs w:val="24"/>
          <w:lang w:eastAsia="ar-SA"/>
        </w:rPr>
        <w:t xml:space="preserve">. W </w:t>
      </w:r>
      <w:r w:rsidR="00DF7615">
        <w:rPr>
          <w:rFonts w:ascii="Arial" w:eastAsia="Times New Roman" w:hAnsi="Arial" w:cs="Arial"/>
          <w:sz w:val="24"/>
          <w:szCs w:val="24"/>
          <w:lang w:eastAsia="ar-SA"/>
        </w:rPr>
        <w:t xml:space="preserve">analizie SWOT </w:t>
      </w:r>
      <w:r w:rsidR="007A511A">
        <w:rPr>
          <w:rFonts w:ascii="Arial" w:eastAsia="Times New Roman" w:hAnsi="Arial" w:cs="Arial"/>
          <w:sz w:val="24"/>
          <w:szCs w:val="24"/>
          <w:lang w:eastAsia="ar-SA"/>
        </w:rPr>
        <w:t xml:space="preserve">wskazano na </w:t>
      </w:r>
      <w:r w:rsidR="00DF7615">
        <w:rPr>
          <w:rFonts w:ascii="Arial" w:eastAsia="Times New Roman" w:hAnsi="Arial" w:cs="Arial"/>
          <w:sz w:val="24"/>
          <w:szCs w:val="24"/>
          <w:lang w:eastAsia="ar-SA"/>
        </w:rPr>
        <w:t>ograniczon</w:t>
      </w:r>
      <w:r w:rsidR="007A511A">
        <w:rPr>
          <w:rFonts w:ascii="Arial" w:eastAsia="Times New Roman" w:hAnsi="Arial" w:cs="Arial"/>
          <w:sz w:val="24"/>
          <w:szCs w:val="24"/>
          <w:lang w:eastAsia="ar-SA"/>
        </w:rPr>
        <w:t>ą</w:t>
      </w:r>
      <w:r w:rsidR="00DF761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A511A">
        <w:rPr>
          <w:rFonts w:ascii="Arial" w:eastAsia="Times New Roman" w:hAnsi="Arial" w:cs="Arial"/>
          <w:sz w:val="24"/>
          <w:szCs w:val="24"/>
          <w:lang w:eastAsia="ar-SA"/>
        </w:rPr>
        <w:t>dostępność do opieki zdrow</w:t>
      </w:r>
      <w:r w:rsidR="00DF7615">
        <w:rPr>
          <w:rFonts w:ascii="Arial" w:eastAsia="Times New Roman" w:hAnsi="Arial" w:cs="Arial"/>
          <w:sz w:val="24"/>
          <w:szCs w:val="24"/>
          <w:lang w:eastAsia="ar-SA"/>
        </w:rPr>
        <w:t>otnej i niskiego poziomu specjalistycznej opieki medycznej na terenie gminy.</w:t>
      </w:r>
      <w:r w:rsidR="007A511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F761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EECF1D9" w14:textId="45E244F7" w:rsidR="005C4BE7" w:rsidRDefault="00DF7615" w:rsidP="00261868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Uwzględniając powyższe wnioski, rekomenduje się projektodawcy weryfikacj</w:t>
      </w:r>
      <w:r w:rsidR="007A511A">
        <w:rPr>
          <w:rFonts w:ascii="Arial" w:eastAsia="Times New Roman" w:hAnsi="Arial" w:cs="Arial"/>
          <w:sz w:val="24"/>
          <w:szCs w:val="24"/>
          <w:lang w:eastAsia="ar-SA"/>
        </w:rPr>
        <w:t>ę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zaplanowanych w SRG kierunków działań</w:t>
      </w:r>
      <w:r w:rsidR="007A511A">
        <w:rPr>
          <w:rFonts w:ascii="Arial" w:eastAsia="Times New Roman" w:hAnsi="Arial" w:cs="Arial"/>
          <w:sz w:val="24"/>
          <w:szCs w:val="24"/>
          <w:lang w:eastAsia="ar-SA"/>
        </w:rPr>
        <w:t xml:space="preserve"> w wymiarze przestrzennym i społecznym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 </w:t>
      </w:r>
      <w:r w:rsidR="00DF5639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5C4BE7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</w:p>
    <w:p w14:paraId="12C0BE49" w14:textId="29768810" w:rsidR="00BB02BD" w:rsidRDefault="00DF7615" w:rsidP="00261868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Odnosząc się do modelu </w:t>
      </w:r>
      <w:r w:rsidRPr="00DF7615">
        <w:rPr>
          <w:rFonts w:ascii="Arial" w:eastAsia="Times New Roman" w:hAnsi="Arial" w:cs="Arial"/>
          <w:sz w:val="24"/>
          <w:szCs w:val="24"/>
          <w:lang w:eastAsia="ar-SA"/>
        </w:rPr>
        <w:t xml:space="preserve">struktury funkcjonalno-przestrzennej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należy wskazać, iż powinien </w:t>
      </w:r>
      <w:r w:rsidRPr="00DF7615">
        <w:rPr>
          <w:rFonts w:ascii="Arial" w:eastAsia="Times New Roman" w:hAnsi="Arial" w:cs="Arial"/>
          <w:sz w:val="24"/>
          <w:szCs w:val="24"/>
          <w:lang w:eastAsia="ar-SA"/>
        </w:rPr>
        <w:t>on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przedstawiać</w:t>
      </w:r>
      <w:r w:rsidRPr="00DF7615">
        <w:rPr>
          <w:rFonts w:ascii="Arial" w:eastAsia="Times New Roman" w:hAnsi="Arial" w:cs="Arial"/>
          <w:sz w:val="24"/>
          <w:szCs w:val="24"/>
          <w:lang w:eastAsia="ar-SA"/>
        </w:rPr>
        <w:t xml:space="preserve"> kierunki rozwoju przestrzennego dla terytorium gminy oraz wskaz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ywać </w:t>
      </w:r>
      <w:r w:rsidRPr="00DF7615">
        <w:rPr>
          <w:rFonts w:ascii="Arial" w:eastAsia="Times New Roman" w:hAnsi="Arial" w:cs="Arial"/>
          <w:sz w:val="24"/>
          <w:szCs w:val="24"/>
          <w:lang w:eastAsia="ar-SA"/>
        </w:rPr>
        <w:t xml:space="preserve">jakie zmiany powinny zaistnieć w przestrzeni, aby zrealizować wyznaczone cele strategiczne oraz osiągnąć efekty tych celów. Baza zawartości katalogu zagadnień obejmuje typowe dla tego rodzaju projekcji elementy tj. sieć osadniczą, obszary o kluczowych funkcjach dla rozwoju, powiązania infrastrukturalne, </w:t>
      </w:r>
      <w:r w:rsidRPr="00DF761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w tym transportowe i energetyczne, sieć ekologiczną oraz inne ważne z punktu widzenia gminy. </w:t>
      </w:r>
      <w:r>
        <w:rPr>
          <w:rFonts w:ascii="Arial" w:eastAsia="Times New Roman" w:hAnsi="Arial" w:cs="Arial"/>
          <w:sz w:val="24"/>
          <w:szCs w:val="24"/>
          <w:lang w:eastAsia="ar-SA"/>
        </w:rPr>
        <w:t>W kontekście powyższego, z</w:t>
      </w:r>
      <w:r w:rsidRPr="00DF7615">
        <w:rPr>
          <w:rFonts w:ascii="Arial" w:eastAsia="Times New Roman" w:hAnsi="Arial" w:cs="Arial"/>
          <w:sz w:val="24"/>
          <w:szCs w:val="24"/>
          <w:lang w:eastAsia="ar-SA"/>
        </w:rPr>
        <w:t>daniem Zarządu Województwa Podkarpackiego model ten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nieczytelny sposób przedstawia sieć osadniczą</w:t>
      </w:r>
      <w:r w:rsidR="00FB1306">
        <w:rPr>
          <w:rFonts w:ascii="Arial" w:eastAsia="Times New Roman" w:hAnsi="Arial" w:cs="Arial"/>
          <w:sz w:val="24"/>
          <w:szCs w:val="24"/>
          <w:lang w:eastAsia="ar-SA"/>
        </w:rPr>
        <w:t xml:space="preserve">. Ponadto weryfikacji wymaga zakres </w:t>
      </w:r>
      <w:r w:rsidR="00FB1306" w:rsidRPr="00FB1306">
        <w:rPr>
          <w:rFonts w:ascii="Arial" w:eastAsia="Times New Roman" w:hAnsi="Arial" w:cs="Arial"/>
          <w:sz w:val="24"/>
          <w:szCs w:val="24"/>
          <w:lang w:eastAsia="ar-SA"/>
        </w:rPr>
        <w:t>map</w:t>
      </w:r>
      <w:r w:rsidR="00FB1306">
        <w:rPr>
          <w:rFonts w:ascii="Arial" w:eastAsia="Times New Roman" w:hAnsi="Arial" w:cs="Arial"/>
          <w:sz w:val="24"/>
          <w:szCs w:val="24"/>
          <w:lang w:eastAsia="ar-SA"/>
        </w:rPr>
        <w:t xml:space="preserve">y </w:t>
      </w:r>
      <w:r w:rsidR="00FB1306" w:rsidRPr="00FB1306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FB1306">
        <w:rPr>
          <w:rFonts w:ascii="Arial" w:eastAsia="Times New Roman" w:hAnsi="Arial" w:cs="Arial"/>
          <w:sz w:val="24"/>
          <w:szCs w:val="24"/>
          <w:lang w:eastAsia="ar-SA"/>
        </w:rPr>
        <w:t xml:space="preserve"> – Uwarunkowania przyrodnicze – zagrożenie powodziowe i mapy </w:t>
      </w:r>
      <w:r w:rsidR="00FB1306" w:rsidRPr="00FB1306">
        <w:rPr>
          <w:rFonts w:ascii="Arial" w:eastAsia="Times New Roman" w:hAnsi="Arial" w:cs="Arial"/>
          <w:sz w:val="24"/>
          <w:szCs w:val="24"/>
          <w:lang w:eastAsia="ar-SA"/>
        </w:rPr>
        <w:t xml:space="preserve">10 – </w:t>
      </w:r>
      <w:r w:rsidR="00FB1306">
        <w:rPr>
          <w:rFonts w:ascii="Arial" w:eastAsia="Times New Roman" w:hAnsi="Arial" w:cs="Arial"/>
          <w:sz w:val="24"/>
          <w:szCs w:val="24"/>
          <w:lang w:eastAsia="ar-SA"/>
        </w:rPr>
        <w:t>Uwarunkowania</w:t>
      </w:r>
      <w:r w:rsidR="00FB1306" w:rsidRPr="00FB1306">
        <w:t xml:space="preserve"> </w:t>
      </w:r>
      <w:r w:rsidR="00FB1306" w:rsidRPr="00FB1306">
        <w:rPr>
          <w:rFonts w:ascii="Arial" w:eastAsia="Times New Roman" w:hAnsi="Arial" w:cs="Arial"/>
          <w:sz w:val="24"/>
          <w:szCs w:val="24"/>
          <w:lang w:eastAsia="ar-SA"/>
        </w:rPr>
        <w:t xml:space="preserve">przyrodnicze – </w:t>
      </w:r>
      <w:r w:rsidR="00FB1306">
        <w:rPr>
          <w:rFonts w:ascii="Arial" w:eastAsia="Times New Roman" w:hAnsi="Arial" w:cs="Arial"/>
          <w:sz w:val="24"/>
          <w:szCs w:val="24"/>
          <w:lang w:eastAsia="ar-SA"/>
        </w:rPr>
        <w:t xml:space="preserve">mapa osuwisk i terenów zagrożonych ruchami masowymi, których czytelność jest ograniczona z uwagi na brak możliwości identyfikacji </w:t>
      </w:r>
      <w:r w:rsidR="00B82D5B">
        <w:rPr>
          <w:rFonts w:ascii="Arial" w:eastAsia="Times New Roman" w:hAnsi="Arial" w:cs="Arial"/>
          <w:sz w:val="24"/>
          <w:szCs w:val="24"/>
          <w:lang w:eastAsia="ar-SA"/>
        </w:rPr>
        <w:t xml:space="preserve">istotnych </w:t>
      </w:r>
      <w:r w:rsidR="00FB1306">
        <w:rPr>
          <w:rFonts w:ascii="Arial" w:eastAsia="Times New Roman" w:hAnsi="Arial" w:cs="Arial"/>
          <w:sz w:val="24"/>
          <w:szCs w:val="24"/>
          <w:lang w:eastAsia="ar-SA"/>
        </w:rPr>
        <w:t xml:space="preserve">elementów ujętych </w:t>
      </w:r>
      <w:r w:rsidR="00B82D5B">
        <w:rPr>
          <w:rFonts w:ascii="Arial" w:eastAsia="Times New Roman" w:hAnsi="Arial" w:cs="Arial"/>
          <w:sz w:val="24"/>
          <w:szCs w:val="24"/>
          <w:lang w:eastAsia="ar-SA"/>
        </w:rPr>
        <w:t xml:space="preserve">w legendzie </w:t>
      </w:r>
      <w:r w:rsidR="00BA352A">
        <w:rPr>
          <w:rFonts w:ascii="Arial" w:eastAsia="Times New Roman" w:hAnsi="Arial" w:cs="Arial"/>
          <w:sz w:val="24"/>
          <w:szCs w:val="24"/>
          <w:lang w:eastAsia="ar-SA"/>
        </w:rPr>
        <w:t xml:space="preserve">poszczególnych </w:t>
      </w:r>
      <w:r w:rsidR="00B82D5B">
        <w:rPr>
          <w:rFonts w:ascii="Arial" w:eastAsia="Times New Roman" w:hAnsi="Arial" w:cs="Arial"/>
          <w:sz w:val="24"/>
          <w:szCs w:val="24"/>
          <w:lang w:eastAsia="ar-SA"/>
        </w:rPr>
        <w:t>map</w:t>
      </w:r>
      <w:r w:rsidR="00FB1306">
        <w:rPr>
          <w:rFonts w:ascii="Arial" w:eastAsia="Times New Roman" w:hAnsi="Arial" w:cs="Arial"/>
          <w:sz w:val="24"/>
          <w:szCs w:val="24"/>
          <w:lang w:eastAsia="ar-SA"/>
        </w:rPr>
        <w:t>. W odniesieniu do mapy 8 i</w:t>
      </w:r>
      <w:r w:rsidR="00BB02BD" w:rsidRPr="00BB02BD">
        <w:rPr>
          <w:rFonts w:ascii="Arial" w:eastAsia="Times New Roman" w:hAnsi="Arial" w:cs="Arial"/>
          <w:sz w:val="24"/>
          <w:szCs w:val="24"/>
          <w:lang w:eastAsia="ar-SA"/>
        </w:rPr>
        <w:t xml:space="preserve"> 11 wymagają </w:t>
      </w:r>
      <w:r w:rsidR="00FB1306">
        <w:rPr>
          <w:rFonts w:ascii="Arial" w:eastAsia="Times New Roman" w:hAnsi="Arial" w:cs="Arial"/>
          <w:sz w:val="24"/>
          <w:szCs w:val="24"/>
          <w:lang w:eastAsia="ar-SA"/>
        </w:rPr>
        <w:t xml:space="preserve">one </w:t>
      </w:r>
      <w:r w:rsidR="00BB02BD" w:rsidRPr="00BB02BD">
        <w:rPr>
          <w:rFonts w:ascii="Arial" w:eastAsia="Times New Roman" w:hAnsi="Arial" w:cs="Arial"/>
          <w:sz w:val="24"/>
          <w:szCs w:val="24"/>
          <w:lang w:eastAsia="ar-SA"/>
        </w:rPr>
        <w:t>korekt</w:t>
      </w:r>
      <w:r w:rsidR="00FB1306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BB02BD" w:rsidRPr="00BB02BD">
        <w:rPr>
          <w:rFonts w:ascii="Arial" w:eastAsia="Times New Roman" w:hAnsi="Arial" w:cs="Arial"/>
          <w:sz w:val="24"/>
          <w:szCs w:val="24"/>
          <w:lang w:eastAsia="ar-SA"/>
        </w:rPr>
        <w:t xml:space="preserve"> w zakresie przebiegu linii elektroenergetycznych</w:t>
      </w:r>
      <w:r w:rsidR="00FB1306">
        <w:rPr>
          <w:rFonts w:ascii="Arial" w:eastAsia="Times New Roman" w:hAnsi="Arial" w:cs="Arial"/>
          <w:sz w:val="24"/>
          <w:szCs w:val="24"/>
          <w:lang w:eastAsia="ar-SA"/>
        </w:rPr>
        <w:t>, które oznaczone są jako linie napowietrzne wysokiego napięcia</w:t>
      </w:r>
      <w:r w:rsidR="00BB02BD" w:rsidRPr="00BB02BD">
        <w:rPr>
          <w:rFonts w:ascii="Arial" w:eastAsia="Times New Roman" w:hAnsi="Arial" w:cs="Arial"/>
          <w:sz w:val="24"/>
          <w:szCs w:val="24"/>
          <w:lang w:eastAsia="ar-SA"/>
        </w:rPr>
        <w:t xml:space="preserve">. Przez teren gminy przebiega linia 750 </w:t>
      </w:r>
      <w:proofErr w:type="spellStart"/>
      <w:r w:rsidR="00BB02BD" w:rsidRPr="00BB02BD">
        <w:rPr>
          <w:rFonts w:ascii="Arial" w:eastAsia="Times New Roman" w:hAnsi="Arial" w:cs="Arial"/>
          <w:sz w:val="24"/>
          <w:szCs w:val="24"/>
          <w:lang w:eastAsia="ar-SA"/>
        </w:rPr>
        <w:t>kV</w:t>
      </w:r>
      <w:proofErr w:type="spellEnd"/>
      <w:r w:rsidR="00BB02BD" w:rsidRPr="00BB02BD">
        <w:rPr>
          <w:rFonts w:ascii="Arial" w:eastAsia="Times New Roman" w:hAnsi="Arial" w:cs="Arial"/>
          <w:sz w:val="24"/>
          <w:szCs w:val="24"/>
          <w:lang w:eastAsia="ar-SA"/>
        </w:rPr>
        <w:t xml:space="preserve">, która powinna być oznaczona jako linia najwyższych napięć. Ponadto nie wszystkie linie 110 </w:t>
      </w:r>
      <w:proofErr w:type="spellStart"/>
      <w:r w:rsidR="00BB02BD" w:rsidRPr="00BB02BD">
        <w:rPr>
          <w:rFonts w:ascii="Arial" w:eastAsia="Times New Roman" w:hAnsi="Arial" w:cs="Arial"/>
          <w:sz w:val="24"/>
          <w:szCs w:val="24"/>
          <w:lang w:eastAsia="ar-SA"/>
        </w:rPr>
        <w:t>kV</w:t>
      </w:r>
      <w:proofErr w:type="spellEnd"/>
      <w:r w:rsidR="00BB02BD" w:rsidRPr="00BB02BD">
        <w:rPr>
          <w:rFonts w:ascii="Arial" w:eastAsia="Times New Roman" w:hAnsi="Arial" w:cs="Arial"/>
          <w:sz w:val="24"/>
          <w:szCs w:val="24"/>
          <w:lang w:eastAsia="ar-SA"/>
        </w:rPr>
        <w:t xml:space="preserve"> zostały na rysunkach zaznaczone.</w:t>
      </w:r>
    </w:p>
    <w:p w14:paraId="01FDD744" w14:textId="445DC0B2" w:rsidR="00246196" w:rsidRDefault="00246196" w:rsidP="00261868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Jednym z ustawowo wymaganych</w:t>
      </w:r>
      <w:r w:rsidRPr="00246196">
        <w:rPr>
          <w:rFonts w:ascii="Arial" w:eastAsia="Times New Roman" w:hAnsi="Arial" w:cs="Arial"/>
          <w:sz w:val="24"/>
          <w:szCs w:val="24"/>
          <w:lang w:eastAsia="ar-SA"/>
        </w:rPr>
        <w:t xml:space="preserve"> elementów o których mowa w art. 10e ust. 3 i 4 </w:t>
      </w:r>
      <w:proofErr w:type="spellStart"/>
      <w:r w:rsidRPr="00246196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są ramy finansowe i źródła finansowania. Zarząd Województwa Podkarpackiego r</w:t>
      </w:r>
      <w:r w:rsidRPr="00246196">
        <w:rPr>
          <w:rFonts w:ascii="Arial" w:eastAsia="Times New Roman" w:hAnsi="Arial" w:cs="Arial"/>
          <w:sz w:val="24"/>
          <w:szCs w:val="24"/>
          <w:lang w:eastAsia="ar-SA"/>
        </w:rPr>
        <w:t>ekomenduje uzupełnienie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tych elementów. Projektodawca oparł ramy </w:t>
      </w:r>
      <w:r w:rsidRPr="00246196">
        <w:rPr>
          <w:rFonts w:ascii="Arial" w:eastAsia="Times New Roman" w:hAnsi="Arial" w:cs="Arial"/>
          <w:sz w:val="24"/>
          <w:szCs w:val="24"/>
          <w:lang w:eastAsia="ar-SA"/>
        </w:rPr>
        <w:t>finansow</w:t>
      </w:r>
      <w:r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797848">
        <w:rPr>
          <w:rFonts w:ascii="Arial" w:eastAsia="Times New Roman" w:hAnsi="Arial" w:cs="Arial"/>
          <w:sz w:val="24"/>
          <w:szCs w:val="24"/>
          <w:lang w:eastAsia="ar-SA"/>
        </w:rPr>
        <w:t xml:space="preserve"> jedynie</w:t>
      </w:r>
      <w:r w:rsidRPr="0024619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97848">
        <w:rPr>
          <w:rFonts w:ascii="Arial" w:eastAsia="Times New Roman" w:hAnsi="Arial" w:cs="Arial"/>
          <w:sz w:val="24"/>
          <w:szCs w:val="24"/>
          <w:lang w:eastAsia="ar-SA"/>
        </w:rPr>
        <w:t xml:space="preserve">na charakterystyce gospodarki finansowej gminy do 2021 r. oraz przedstawiając kartę zadań z ich szacunkową wartością. Ponadto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projekt SRG określa ramy finansowe wyłącznie do obszaru 3. </w:t>
      </w:r>
      <w:r w:rsidRPr="00BA352A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Rozwój strefy strategicznej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Natomiast źródła finansowania zostały wskazane na znacznym poziomie ogólności pomimo zaawansowanego procesu programowania perspektywy finansowej UE na lata 2021-2027.   </w:t>
      </w:r>
    </w:p>
    <w:p w14:paraId="155BDBBD" w14:textId="33B84394" w:rsidR="00797848" w:rsidRDefault="00B82D5B" w:rsidP="00261868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Odnosząc się do SRG jako całości,</w:t>
      </w:r>
      <w:r w:rsidR="00797848">
        <w:rPr>
          <w:rFonts w:ascii="Arial" w:eastAsia="Times New Roman" w:hAnsi="Arial" w:cs="Arial"/>
          <w:sz w:val="24"/>
          <w:szCs w:val="24"/>
          <w:lang w:eastAsia="ar-SA"/>
        </w:rPr>
        <w:t xml:space="preserve"> zwraca się uwagę, iż </w:t>
      </w:r>
      <w:r>
        <w:rPr>
          <w:rFonts w:ascii="Arial" w:eastAsia="Times New Roman" w:hAnsi="Arial" w:cs="Arial"/>
          <w:sz w:val="24"/>
          <w:szCs w:val="24"/>
          <w:lang w:eastAsia="ar-SA"/>
        </w:rPr>
        <w:t>dokument nie odwołuje</w:t>
      </w:r>
      <w:r w:rsidR="00515E23">
        <w:rPr>
          <w:rFonts w:ascii="Arial" w:eastAsia="Times New Roman" w:hAnsi="Arial" w:cs="Arial"/>
          <w:sz w:val="24"/>
          <w:szCs w:val="24"/>
          <w:lang w:eastAsia="ar-SA"/>
        </w:rPr>
        <w:t xml:space="preserve"> się do </w:t>
      </w:r>
      <w:r w:rsidR="00797848" w:rsidRPr="00797848">
        <w:rPr>
          <w:rFonts w:ascii="Arial" w:eastAsia="Times New Roman" w:hAnsi="Arial" w:cs="Arial"/>
          <w:sz w:val="24"/>
          <w:szCs w:val="24"/>
          <w:lang w:eastAsia="ar-SA"/>
        </w:rPr>
        <w:t>położeni</w:t>
      </w:r>
      <w:r w:rsidR="00515E23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97848" w:rsidRPr="00797848">
        <w:rPr>
          <w:rFonts w:ascii="Arial" w:eastAsia="Times New Roman" w:hAnsi="Arial" w:cs="Arial"/>
          <w:sz w:val="24"/>
          <w:szCs w:val="24"/>
          <w:lang w:eastAsia="ar-SA"/>
        </w:rPr>
        <w:t xml:space="preserve"> gminy </w:t>
      </w:r>
      <w:r w:rsidR="00797848">
        <w:rPr>
          <w:rFonts w:ascii="Arial" w:eastAsia="Times New Roman" w:hAnsi="Arial" w:cs="Arial"/>
          <w:sz w:val="24"/>
          <w:szCs w:val="24"/>
          <w:lang w:eastAsia="ar-SA"/>
        </w:rPr>
        <w:t xml:space="preserve">Jarosław </w:t>
      </w:r>
      <w:r w:rsidR="00515E23">
        <w:rPr>
          <w:rFonts w:ascii="Arial" w:eastAsia="Times New Roman" w:hAnsi="Arial" w:cs="Arial"/>
          <w:sz w:val="24"/>
          <w:szCs w:val="24"/>
          <w:lang w:eastAsia="ar-SA"/>
        </w:rPr>
        <w:t>w obszarze</w:t>
      </w:r>
      <w:r w:rsidR="00797848" w:rsidRPr="0079784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871CB" w:rsidRPr="00A871CB">
        <w:rPr>
          <w:rFonts w:ascii="Arial" w:eastAsia="Times New Roman" w:hAnsi="Arial" w:cs="Arial"/>
          <w:sz w:val="24"/>
          <w:szCs w:val="24"/>
          <w:lang w:eastAsia="ar-SA"/>
        </w:rPr>
        <w:t xml:space="preserve">Miejskiego Obszaru Funkcjonalnego </w:t>
      </w:r>
      <w:r w:rsidR="00797848" w:rsidRPr="00797848">
        <w:rPr>
          <w:rFonts w:ascii="Arial" w:eastAsia="Times New Roman" w:hAnsi="Arial" w:cs="Arial"/>
          <w:sz w:val="24"/>
          <w:szCs w:val="24"/>
          <w:lang w:eastAsia="ar-SA"/>
        </w:rPr>
        <w:t>Jarosław-Przeworsk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który został </w:t>
      </w:r>
      <w:proofErr w:type="spellStart"/>
      <w:r w:rsidR="00A871CB">
        <w:rPr>
          <w:rFonts w:ascii="Arial" w:eastAsia="Times New Roman" w:hAnsi="Arial" w:cs="Arial"/>
          <w:sz w:val="24"/>
          <w:szCs w:val="24"/>
          <w:lang w:eastAsia="ar-SA"/>
        </w:rPr>
        <w:t>zdelimitowany</w:t>
      </w:r>
      <w:proofErr w:type="spellEnd"/>
      <w:r w:rsidR="00A871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jako Obszar Strategicznej Interwencji w </w:t>
      </w:r>
      <w:r w:rsidRPr="00A871CB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</w:t>
      </w:r>
      <w:r w:rsidR="00A871CB" w:rsidRPr="00A871CB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515E23">
        <w:rPr>
          <w:rFonts w:ascii="Arial" w:eastAsia="Times New Roman" w:hAnsi="Arial" w:cs="Arial"/>
          <w:sz w:val="24"/>
          <w:szCs w:val="24"/>
          <w:lang w:eastAsia="ar-SA"/>
        </w:rPr>
        <w:t xml:space="preserve"> Dlatego też</w:t>
      </w:r>
      <w:r w:rsidR="00797848" w:rsidRPr="00797848">
        <w:rPr>
          <w:rFonts w:ascii="Arial" w:eastAsia="Times New Roman" w:hAnsi="Arial" w:cs="Arial"/>
          <w:sz w:val="24"/>
          <w:szCs w:val="24"/>
          <w:lang w:eastAsia="ar-SA"/>
        </w:rPr>
        <w:t xml:space="preserve"> rekomenduje się dodanie w SRG zapisów określających </w:t>
      </w:r>
      <w:r w:rsidRPr="00B82D5B">
        <w:rPr>
          <w:rFonts w:ascii="Arial" w:eastAsia="Times New Roman" w:hAnsi="Arial" w:cs="Arial"/>
          <w:sz w:val="24"/>
          <w:szCs w:val="24"/>
          <w:lang w:eastAsia="ar-SA"/>
        </w:rPr>
        <w:t xml:space="preserve">pozycję gminy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 duopolu </w:t>
      </w:r>
      <w:r w:rsidRPr="00B82D5B">
        <w:rPr>
          <w:rFonts w:ascii="Arial" w:eastAsia="Times New Roman" w:hAnsi="Arial" w:cs="Arial"/>
          <w:sz w:val="24"/>
          <w:szCs w:val="24"/>
          <w:lang w:eastAsia="ar-SA"/>
        </w:rPr>
        <w:t xml:space="preserve">oraz wpływ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Miejskiego Obszaru Funkcjonalnego </w:t>
      </w:r>
      <w:r w:rsidRPr="00B82D5B">
        <w:rPr>
          <w:rFonts w:ascii="Arial" w:eastAsia="Times New Roman" w:hAnsi="Arial" w:cs="Arial"/>
          <w:sz w:val="24"/>
          <w:szCs w:val="24"/>
          <w:lang w:eastAsia="ar-SA"/>
        </w:rPr>
        <w:t>na rozwój gminy.</w:t>
      </w:r>
    </w:p>
    <w:p w14:paraId="12DF9D5D" w14:textId="4AF2627C" w:rsidR="00261868" w:rsidRDefault="00797848" w:rsidP="00261868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7848">
        <w:rPr>
          <w:rFonts w:ascii="Arial" w:eastAsia="Times New Roman" w:hAnsi="Arial" w:cs="Arial"/>
          <w:sz w:val="24"/>
          <w:szCs w:val="24"/>
          <w:lang w:eastAsia="ar-SA"/>
        </w:rPr>
        <w:t>Biorąc pod uwa</w:t>
      </w:r>
      <w:r>
        <w:rPr>
          <w:rFonts w:ascii="Arial" w:eastAsia="Times New Roman" w:hAnsi="Arial" w:cs="Arial"/>
          <w:sz w:val="24"/>
          <w:szCs w:val="24"/>
          <w:lang w:eastAsia="ar-SA"/>
        </w:rPr>
        <w:t>gę</w:t>
      </w:r>
      <w:r w:rsidRPr="00797848">
        <w:rPr>
          <w:rFonts w:ascii="Arial" w:eastAsia="Times New Roman" w:hAnsi="Arial" w:cs="Arial"/>
          <w:sz w:val="24"/>
          <w:szCs w:val="24"/>
          <w:lang w:eastAsia="ar-SA"/>
        </w:rPr>
        <w:t xml:space="preserve"> zakres </w:t>
      </w:r>
      <w:r>
        <w:rPr>
          <w:rFonts w:ascii="Arial" w:eastAsia="Times New Roman" w:hAnsi="Arial" w:cs="Arial"/>
          <w:sz w:val="24"/>
          <w:szCs w:val="24"/>
          <w:lang w:eastAsia="ar-SA"/>
        </w:rPr>
        <w:t>opinii</w:t>
      </w:r>
      <w:r w:rsidRPr="00797848">
        <w:rPr>
          <w:rFonts w:ascii="Arial" w:eastAsia="Times New Roman" w:hAnsi="Arial" w:cs="Arial"/>
          <w:sz w:val="24"/>
          <w:szCs w:val="24"/>
          <w:lang w:eastAsia="ar-SA"/>
        </w:rPr>
        <w:t xml:space="preserve"> o której mowa w art. 10f ust. 2 </w:t>
      </w:r>
      <w:proofErr w:type="spellStart"/>
      <w:r w:rsidRPr="00797848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797848">
        <w:rPr>
          <w:rFonts w:ascii="Arial" w:eastAsia="Times New Roman" w:hAnsi="Arial" w:cs="Arial"/>
          <w:sz w:val="24"/>
          <w:szCs w:val="24"/>
          <w:lang w:eastAsia="ar-SA"/>
        </w:rPr>
        <w:t xml:space="preserve">. tj. dotyczącej sposobu uwzględnienia w SRG ustaleń i rekomendacji w zakresie kształtowania i prowadzenia polityki przestrzennej w województwie określonych w SRWP 2030, a także zaprezentowane w tym zakresie zapisy SRG, Zarząd Województwa Podkarpackiego działając na podstawie art. 41 ust. 1 ustawy z dnia 5 czerwca 1998 r. o samorządzie województwa (tekst jednolity Dz.U. z 2022 r. poz. 547 ze zm.) oraz art. 10f ust. 3 </w:t>
      </w:r>
      <w:proofErr w:type="spellStart"/>
      <w:r w:rsidRPr="00797848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797848">
        <w:rPr>
          <w:rFonts w:ascii="Arial" w:eastAsia="Times New Roman" w:hAnsi="Arial" w:cs="Arial"/>
          <w:sz w:val="24"/>
          <w:szCs w:val="24"/>
          <w:lang w:eastAsia="ar-SA"/>
        </w:rPr>
        <w:t xml:space="preserve">. postanawia </w:t>
      </w:r>
      <w:r w:rsidR="001A200C">
        <w:rPr>
          <w:rFonts w:ascii="Arial" w:eastAsia="Times New Roman" w:hAnsi="Arial" w:cs="Arial"/>
          <w:sz w:val="24"/>
          <w:szCs w:val="24"/>
          <w:lang w:eastAsia="ar-SA"/>
        </w:rPr>
        <w:t>negatywnie</w:t>
      </w:r>
      <w:r w:rsidRPr="00797848">
        <w:rPr>
          <w:rFonts w:ascii="Arial" w:eastAsia="Times New Roman" w:hAnsi="Arial" w:cs="Arial"/>
          <w:sz w:val="24"/>
          <w:szCs w:val="24"/>
          <w:lang w:eastAsia="ar-SA"/>
        </w:rPr>
        <w:t xml:space="preserve"> zaopiniować przedłożony projekt Strategii Rozwoju Gminy </w:t>
      </w:r>
      <w:r>
        <w:rPr>
          <w:rFonts w:ascii="Arial" w:eastAsia="Times New Roman" w:hAnsi="Arial" w:cs="Arial"/>
          <w:sz w:val="24"/>
          <w:szCs w:val="24"/>
          <w:lang w:eastAsia="ar-SA"/>
        </w:rPr>
        <w:t>Jarosław</w:t>
      </w:r>
      <w:r w:rsidRPr="00797848">
        <w:rPr>
          <w:rFonts w:ascii="Arial" w:eastAsia="Times New Roman" w:hAnsi="Arial" w:cs="Arial"/>
          <w:sz w:val="24"/>
          <w:szCs w:val="24"/>
          <w:lang w:eastAsia="ar-SA"/>
        </w:rPr>
        <w:t xml:space="preserve"> na lata 2022-203</w:t>
      </w:r>
      <w:r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79784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9956955" w14:textId="53137F96" w:rsidR="00797848" w:rsidRDefault="00797848" w:rsidP="00261868">
      <w:pPr>
        <w:spacing w:before="240" w:after="24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6C50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związku z powyższym, rekomenduje się wprowadzenie w toku dalszego procedowania </w:t>
      </w:r>
      <w:r w:rsidRPr="006C50F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SRG</w:t>
      </w:r>
      <w:r w:rsidRPr="006C50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A200C" w:rsidRPr="006C50F9">
        <w:rPr>
          <w:rFonts w:ascii="Arial" w:eastAsia="Times New Roman" w:hAnsi="Arial" w:cs="Arial"/>
          <w:color w:val="000000" w:themeColor="text1"/>
          <w:sz w:val="24"/>
          <w:szCs w:val="24"/>
        </w:rPr>
        <w:t>zmian,</w:t>
      </w:r>
      <w:r w:rsidRPr="006C50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 których mowa w niniejszej uchwale, a następnie ponowne przedłożenie projektu </w:t>
      </w:r>
      <w:r w:rsidRPr="006C50F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Strategii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Zarządowi Województwa Podkarpackiego </w:t>
      </w:r>
      <w:r w:rsidRPr="006C50F9">
        <w:rPr>
          <w:rFonts w:ascii="Arial" w:eastAsia="Times New Roman" w:hAnsi="Arial" w:cs="Arial"/>
          <w:color w:val="000000" w:themeColor="text1"/>
          <w:sz w:val="24"/>
          <w:szCs w:val="24"/>
        </w:rPr>
        <w:t>do opiniowania.</w:t>
      </w:r>
    </w:p>
    <w:sectPr w:rsidR="00797848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73"/>
    <w:rsid w:val="000A4098"/>
    <w:rsid w:val="000A724E"/>
    <w:rsid w:val="000D3A57"/>
    <w:rsid w:val="000E1F20"/>
    <w:rsid w:val="000F061A"/>
    <w:rsid w:val="00126FB1"/>
    <w:rsid w:val="00173CA7"/>
    <w:rsid w:val="001854C5"/>
    <w:rsid w:val="001A200C"/>
    <w:rsid w:val="001B4836"/>
    <w:rsid w:val="00246196"/>
    <w:rsid w:val="00261868"/>
    <w:rsid w:val="00360B25"/>
    <w:rsid w:val="00492C04"/>
    <w:rsid w:val="00515E23"/>
    <w:rsid w:val="00522A06"/>
    <w:rsid w:val="00524C73"/>
    <w:rsid w:val="0056560C"/>
    <w:rsid w:val="0059009F"/>
    <w:rsid w:val="005C4BE7"/>
    <w:rsid w:val="005C4CCC"/>
    <w:rsid w:val="005F6AFC"/>
    <w:rsid w:val="005F74B7"/>
    <w:rsid w:val="00625F30"/>
    <w:rsid w:val="006A5E10"/>
    <w:rsid w:val="006D77EB"/>
    <w:rsid w:val="006E7042"/>
    <w:rsid w:val="00797848"/>
    <w:rsid w:val="007A3C1E"/>
    <w:rsid w:val="007A511A"/>
    <w:rsid w:val="0089136C"/>
    <w:rsid w:val="0091528F"/>
    <w:rsid w:val="009416EE"/>
    <w:rsid w:val="009B2FB5"/>
    <w:rsid w:val="00A871CB"/>
    <w:rsid w:val="00A90894"/>
    <w:rsid w:val="00B531CC"/>
    <w:rsid w:val="00B82D5B"/>
    <w:rsid w:val="00BA352A"/>
    <w:rsid w:val="00BB02BD"/>
    <w:rsid w:val="00DF5153"/>
    <w:rsid w:val="00DF5639"/>
    <w:rsid w:val="00DF7615"/>
    <w:rsid w:val="00E84EB1"/>
    <w:rsid w:val="00EA16BE"/>
    <w:rsid w:val="00F12D41"/>
    <w:rsid w:val="00F56EB3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C039"/>
  <w15:docId w15:val="{811C2033-E01A-45BF-B40B-BC2B746B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98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1592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Surmacz Paulina</dc:creator>
  <cp:lastModifiedBy>.</cp:lastModifiedBy>
  <cp:revision>15</cp:revision>
  <cp:lastPrinted>2022-10-11T11:09:00Z</cp:lastPrinted>
  <dcterms:created xsi:type="dcterms:W3CDTF">2022-10-10T06:04:00Z</dcterms:created>
  <dcterms:modified xsi:type="dcterms:W3CDTF">2022-10-17T10:54:00Z</dcterms:modified>
  <dc:language>pl-PL</dc:language>
</cp:coreProperties>
</file>